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26B8" w14:textId="27D09163" w:rsidR="002B477B" w:rsidRDefault="002B477B" w:rsidP="00571EE2">
      <w:pPr>
        <w:jc w:val="both"/>
        <w:rPr>
          <w:rFonts w:asciiTheme="minorHAnsi" w:hAnsiTheme="minorHAnsi" w:cstheme="minorHAnsi"/>
          <w:b/>
          <w:bCs/>
          <w:szCs w:val="24"/>
          <w:lang w:val="en-US"/>
        </w:rPr>
      </w:pPr>
      <w:r>
        <w:rPr>
          <w:rFonts w:asciiTheme="minorHAnsi" w:hAnsiTheme="minorHAnsi" w:cstheme="minorHAnsi"/>
          <w:b/>
          <w:bCs/>
          <w:szCs w:val="24"/>
          <w:lang w:val="en-US"/>
        </w:rPr>
        <w:t>PRACTICAL ADVICE REGARDING OVIDREL DOSING AND PRESCRIBING FOR MEN WITH HYPOGONADOTROPHIC HYPOGONADISM (Prepared jointly by ESA and Healthy Male)</w:t>
      </w:r>
    </w:p>
    <w:p w14:paraId="31040E6D" w14:textId="3CFB13C7" w:rsidR="003D2049" w:rsidRPr="002B477B" w:rsidRDefault="0033620E" w:rsidP="00571EE2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2B477B">
        <w:rPr>
          <w:rFonts w:asciiTheme="minorHAnsi" w:hAnsiTheme="minorHAnsi" w:cstheme="minorHAnsi"/>
          <w:szCs w:val="24"/>
          <w:lang w:val="en-US"/>
        </w:rPr>
        <w:t>The recent listing of Ovidrel as a Restricted Benefit Item on the Pharmaceutical Benefits Scheme</w:t>
      </w:r>
      <w:r w:rsidR="002B477B">
        <w:rPr>
          <w:rFonts w:asciiTheme="minorHAnsi" w:hAnsiTheme="minorHAnsi" w:cstheme="minorHAnsi"/>
          <w:szCs w:val="24"/>
          <w:lang w:val="en-US"/>
        </w:rPr>
        <w:t xml:space="preserve"> (PBS)</w:t>
      </w:r>
      <w:r w:rsidRPr="002B477B">
        <w:rPr>
          <w:rFonts w:asciiTheme="minorHAnsi" w:hAnsiTheme="minorHAnsi" w:cstheme="minorHAnsi"/>
          <w:szCs w:val="24"/>
          <w:lang w:val="en-US"/>
        </w:rPr>
        <w:t xml:space="preserve">, allowing use in males, </w:t>
      </w:r>
      <w:r w:rsidR="00F44DC0" w:rsidRPr="002B477B">
        <w:rPr>
          <w:rFonts w:asciiTheme="minorHAnsi" w:hAnsiTheme="minorHAnsi" w:cstheme="minorHAnsi"/>
          <w:szCs w:val="24"/>
          <w:lang w:val="en-US"/>
        </w:rPr>
        <w:t xml:space="preserve">fills the gap left when Pregnyl was withdrawn from the market in early 2021. However, </w:t>
      </w:r>
      <w:r w:rsidR="003F6ECE" w:rsidRPr="002B477B">
        <w:rPr>
          <w:rFonts w:asciiTheme="minorHAnsi" w:hAnsiTheme="minorHAnsi" w:cstheme="minorHAnsi"/>
          <w:szCs w:val="24"/>
          <w:lang w:val="en-US"/>
        </w:rPr>
        <w:t xml:space="preserve">the </w:t>
      </w:r>
      <w:r w:rsidR="003F6ECE" w:rsidRPr="002B477B">
        <w:rPr>
          <w:rFonts w:asciiTheme="minorHAnsi" w:hAnsiTheme="minorHAnsi" w:cstheme="minorHAnsi"/>
          <w:b/>
          <w:bCs/>
          <w:i/>
          <w:iCs/>
          <w:szCs w:val="24"/>
          <w:lang w:val="en-US"/>
        </w:rPr>
        <w:t xml:space="preserve">off-label </w:t>
      </w:r>
      <w:r w:rsidR="003F6ECE" w:rsidRPr="002B477B">
        <w:rPr>
          <w:rFonts w:asciiTheme="minorHAnsi" w:hAnsiTheme="minorHAnsi" w:cstheme="minorHAnsi"/>
          <w:szCs w:val="24"/>
          <w:lang w:val="en-US"/>
        </w:rPr>
        <w:t>use of Ovidrel in men</w:t>
      </w:r>
      <w:r w:rsidR="00F44DC0" w:rsidRPr="002B477B">
        <w:rPr>
          <w:rFonts w:asciiTheme="minorHAnsi" w:hAnsiTheme="minorHAnsi" w:cstheme="minorHAnsi"/>
          <w:szCs w:val="24"/>
          <w:lang w:val="en-US"/>
        </w:rPr>
        <w:t xml:space="preserve"> </w:t>
      </w:r>
      <w:r w:rsidR="00CD235C" w:rsidRPr="002B477B">
        <w:rPr>
          <w:rFonts w:asciiTheme="minorHAnsi" w:hAnsiTheme="minorHAnsi" w:cstheme="minorHAnsi"/>
          <w:szCs w:val="24"/>
          <w:lang w:val="en-US"/>
        </w:rPr>
        <w:t>raises</w:t>
      </w:r>
      <w:r w:rsidR="00BA63E3" w:rsidRPr="002B477B">
        <w:rPr>
          <w:rFonts w:asciiTheme="minorHAnsi" w:hAnsiTheme="minorHAnsi" w:cstheme="minorHAnsi"/>
          <w:szCs w:val="24"/>
          <w:lang w:val="en-US"/>
        </w:rPr>
        <w:t xml:space="preserve"> </w:t>
      </w:r>
      <w:r w:rsidR="002B477B">
        <w:rPr>
          <w:rFonts w:asciiTheme="minorHAnsi" w:hAnsiTheme="minorHAnsi" w:cstheme="minorHAnsi"/>
          <w:szCs w:val="24"/>
          <w:lang w:val="en-US"/>
        </w:rPr>
        <w:t>some</w:t>
      </w:r>
      <w:r w:rsidR="00CD235C" w:rsidRPr="002B477B">
        <w:rPr>
          <w:rFonts w:asciiTheme="minorHAnsi" w:hAnsiTheme="minorHAnsi" w:cstheme="minorHAnsi"/>
          <w:szCs w:val="24"/>
          <w:lang w:val="en-US"/>
        </w:rPr>
        <w:t xml:space="preserve"> </w:t>
      </w:r>
      <w:r w:rsidR="002B477B">
        <w:rPr>
          <w:rFonts w:asciiTheme="minorHAnsi" w:hAnsiTheme="minorHAnsi" w:cstheme="minorHAnsi"/>
          <w:szCs w:val="24"/>
          <w:lang w:val="en-US"/>
        </w:rPr>
        <w:t xml:space="preserve">practical </w:t>
      </w:r>
      <w:r w:rsidR="00CD235C" w:rsidRPr="002B477B">
        <w:rPr>
          <w:rFonts w:asciiTheme="minorHAnsi" w:hAnsiTheme="minorHAnsi" w:cstheme="minorHAnsi"/>
          <w:szCs w:val="24"/>
          <w:lang w:val="en-US"/>
        </w:rPr>
        <w:t>issues</w:t>
      </w:r>
      <w:r w:rsidR="002B477B">
        <w:rPr>
          <w:rFonts w:asciiTheme="minorHAnsi" w:hAnsiTheme="minorHAnsi" w:cstheme="minorHAnsi"/>
          <w:szCs w:val="24"/>
          <w:lang w:val="en-US"/>
        </w:rPr>
        <w:t>.</w:t>
      </w:r>
    </w:p>
    <w:p w14:paraId="1FE41A98" w14:textId="71D56EF5" w:rsidR="00944874" w:rsidRPr="002B477B" w:rsidRDefault="00513A07" w:rsidP="00571EE2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2B477B">
        <w:rPr>
          <w:rFonts w:asciiTheme="minorHAnsi" w:hAnsiTheme="minorHAnsi" w:cstheme="minorHAnsi"/>
          <w:szCs w:val="24"/>
          <w:lang w:val="en-US"/>
        </w:rPr>
        <w:t>The single-use Ovidrel syringe provides a total 250 µg of recombinant hCG</w:t>
      </w:r>
      <w:r w:rsidR="00944874" w:rsidRPr="002B477B">
        <w:rPr>
          <w:rFonts w:asciiTheme="minorHAnsi" w:hAnsiTheme="minorHAnsi" w:cstheme="minorHAnsi"/>
          <w:szCs w:val="24"/>
          <w:lang w:val="en-US"/>
        </w:rPr>
        <w:t>, equivalent to a Pregnyl dose of ~6000</w:t>
      </w:r>
      <w:r w:rsidR="002B477B">
        <w:rPr>
          <w:rFonts w:asciiTheme="minorHAnsi" w:hAnsiTheme="minorHAnsi" w:cstheme="minorHAnsi"/>
          <w:szCs w:val="24"/>
          <w:lang w:val="en-US"/>
        </w:rPr>
        <w:t xml:space="preserve"> </w:t>
      </w:r>
      <w:r w:rsidR="00944874" w:rsidRPr="002B477B">
        <w:rPr>
          <w:rFonts w:asciiTheme="minorHAnsi" w:hAnsiTheme="minorHAnsi" w:cstheme="minorHAnsi"/>
          <w:szCs w:val="24"/>
          <w:lang w:val="en-US"/>
        </w:rPr>
        <w:t>I</w:t>
      </w:r>
      <w:r w:rsidR="002B477B">
        <w:rPr>
          <w:rFonts w:asciiTheme="minorHAnsi" w:hAnsiTheme="minorHAnsi" w:cstheme="minorHAnsi"/>
          <w:szCs w:val="24"/>
          <w:lang w:val="en-US"/>
        </w:rPr>
        <w:t>.</w:t>
      </w:r>
      <w:r w:rsidR="00944874" w:rsidRPr="002B477B">
        <w:rPr>
          <w:rFonts w:asciiTheme="minorHAnsi" w:hAnsiTheme="minorHAnsi" w:cstheme="minorHAnsi"/>
          <w:szCs w:val="24"/>
          <w:lang w:val="en-US"/>
        </w:rPr>
        <w:t>U</w:t>
      </w:r>
      <w:r w:rsidRPr="002B477B">
        <w:rPr>
          <w:rFonts w:asciiTheme="minorHAnsi" w:hAnsiTheme="minorHAnsi" w:cstheme="minorHAnsi"/>
          <w:szCs w:val="24"/>
          <w:lang w:val="en-US"/>
        </w:rPr>
        <w:t xml:space="preserve">. </w:t>
      </w:r>
      <w:r w:rsidR="00CD235C" w:rsidRPr="002B477B">
        <w:rPr>
          <w:rFonts w:asciiTheme="minorHAnsi" w:hAnsiTheme="minorHAnsi" w:cstheme="minorHAnsi"/>
          <w:szCs w:val="24"/>
          <w:lang w:val="en-US"/>
        </w:rPr>
        <w:t>An appropriate</w:t>
      </w:r>
      <w:r w:rsidR="00944874" w:rsidRPr="002B477B">
        <w:rPr>
          <w:rFonts w:asciiTheme="minorHAnsi" w:hAnsiTheme="minorHAnsi" w:cstheme="minorHAnsi"/>
          <w:szCs w:val="24"/>
          <w:lang w:val="en-US"/>
        </w:rPr>
        <w:t xml:space="preserve"> dose of Pregnyl</w:t>
      </w:r>
      <w:r w:rsidRPr="002B477B">
        <w:rPr>
          <w:rFonts w:asciiTheme="minorHAnsi" w:hAnsiTheme="minorHAnsi" w:cstheme="minorHAnsi"/>
          <w:szCs w:val="24"/>
          <w:lang w:val="en-US"/>
        </w:rPr>
        <w:t xml:space="preserve"> </w:t>
      </w:r>
      <w:r w:rsidR="00CD235C" w:rsidRPr="002B477B">
        <w:rPr>
          <w:rFonts w:asciiTheme="minorHAnsi" w:hAnsiTheme="minorHAnsi" w:cstheme="minorHAnsi"/>
          <w:szCs w:val="24"/>
          <w:lang w:val="en-US"/>
        </w:rPr>
        <w:t xml:space="preserve">for fertility induction in hypogonadotrophic hypogonadism in males </w:t>
      </w:r>
      <w:r w:rsidRPr="002B477B">
        <w:rPr>
          <w:rFonts w:asciiTheme="minorHAnsi" w:hAnsiTheme="minorHAnsi" w:cstheme="minorHAnsi"/>
          <w:szCs w:val="24"/>
          <w:lang w:val="en-US"/>
        </w:rPr>
        <w:t>(</w:t>
      </w:r>
      <w:r w:rsidR="00944874" w:rsidRPr="002B477B">
        <w:rPr>
          <w:rFonts w:asciiTheme="minorHAnsi" w:hAnsiTheme="minorHAnsi" w:cstheme="minorHAnsi"/>
          <w:szCs w:val="24"/>
          <w:lang w:val="en-US"/>
        </w:rPr>
        <w:t>1500 I</w:t>
      </w:r>
      <w:r w:rsidR="002B477B">
        <w:rPr>
          <w:rFonts w:asciiTheme="minorHAnsi" w:hAnsiTheme="minorHAnsi" w:cstheme="minorHAnsi"/>
          <w:szCs w:val="24"/>
          <w:lang w:val="en-US"/>
        </w:rPr>
        <w:t>.</w:t>
      </w:r>
      <w:r w:rsidR="00944874" w:rsidRPr="002B477B">
        <w:rPr>
          <w:rFonts w:asciiTheme="minorHAnsi" w:hAnsiTheme="minorHAnsi" w:cstheme="minorHAnsi"/>
          <w:szCs w:val="24"/>
          <w:lang w:val="en-US"/>
        </w:rPr>
        <w:t>U</w:t>
      </w:r>
      <w:r w:rsidR="002B477B">
        <w:rPr>
          <w:rFonts w:asciiTheme="minorHAnsi" w:hAnsiTheme="minorHAnsi" w:cstheme="minorHAnsi"/>
          <w:szCs w:val="24"/>
          <w:lang w:val="en-US"/>
        </w:rPr>
        <w:t>.</w:t>
      </w:r>
      <w:r w:rsidR="00944874" w:rsidRPr="002B477B">
        <w:rPr>
          <w:rFonts w:asciiTheme="minorHAnsi" w:hAnsiTheme="minorHAnsi" w:cstheme="minorHAnsi"/>
          <w:szCs w:val="24"/>
          <w:lang w:val="en-US"/>
        </w:rPr>
        <w:t>) is therefore one-quarter of an Ovidrel syringe.</w:t>
      </w:r>
    </w:p>
    <w:p w14:paraId="3121C26E" w14:textId="57421EA2" w:rsidR="003F6ECE" w:rsidRPr="002B477B" w:rsidRDefault="00944874" w:rsidP="00571EE2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2B477B">
        <w:rPr>
          <w:rFonts w:asciiTheme="minorHAnsi" w:hAnsiTheme="minorHAnsi" w:cstheme="minorHAnsi"/>
          <w:szCs w:val="24"/>
          <w:lang w:val="en-US"/>
        </w:rPr>
        <w:t xml:space="preserve">The </w:t>
      </w:r>
      <w:r w:rsidR="003D07A1" w:rsidRPr="002B477B">
        <w:rPr>
          <w:rFonts w:asciiTheme="minorHAnsi" w:hAnsiTheme="minorHAnsi" w:cstheme="minorHAnsi"/>
          <w:szCs w:val="24"/>
          <w:lang w:val="en-US"/>
        </w:rPr>
        <w:t xml:space="preserve">full </w:t>
      </w:r>
      <w:r w:rsidR="00BA63E3" w:rsidRPr="002B477B">
        <w:rPr>
          <w:rFonts w:asciiTheme="minorHAnsi" w:hAnsiTheme="minorHAnsi" w:cstheme="minorHAnsi"/>
          <w:szCs w:val="24"/>
          <w:lang w:val="en-US"/>
        </w:rPr>
        <w:t>250-µg</w:t>
      </w:r>
      <w:r w:rsidRPr="002B477B">
        <w:rPr>
          <w:rFonts w:asciiTheme="minorHAnsi" w:hAnsiTheme="minorHAnsi" w:cstheme="minorHAnsi"/>
          <w:szCs w:val="24"/>
          <w:lang w:val="en-US"/>
        </w:rPr>
        <w:t xml:space="preserve"> dose of Ovidrel is delivered </w:t>
      </w:r>
      <w:r w:rsidR="003D07A1" w:rsidRPr="002B477B">
        <w:rPr>
          <w:rFonts w:asciiTheme="minorHAnsi" w:hAnsiTheme="minorHAnsi" w:cstheme="minorHAnsi"/>
          <w:szCs w:val="24"/>
          <w:lang w:val="en-US"/>
        </w:rPr>
        <w:t>with</w:t>
      </w:r>
      <w:r w:rsidR="00513A07" w:rsidRPr="002B477B">
        <w:rPr>
          <w:rFonts w:asciiTheme="minorHAnsi" w:hAnsiTheme="minorHAnsi" w:cstheme="minorHAnsi"/>
          <w:szCs w:val="24"/>
          <w:lang w:val="en-US"/>
        </w:rPr>
        <w:t xml:space="preserve"> 25 ‘clicks’ </w:t>
      </w:r>
      <w:r w:rsidR="00FC15D0">
        <w:rPr>
          <w:rFonts w:asciiTheme="minorHAnsi" w:hAnsiTheme="minorHAnsi" w:cstheme="minorHAnsi"/>
          <w:szCs w:val="24"/>
          <w:lang w:val="en-US"/>
        </w:rPr>
        <w:t xml:space="preserve">filling </w:t>
      </w:r>
      <w:r w:rsidR="003D07A1" w:rsidRPr="002B477B">
        <w:rPr>
          <w:rFonts w:asciiTheme="minorHAnsi" w:hAnsiTheme="minorHAnsi" w:cstheme="minorHAnsi"/>
          <w:szCs w:val="24"/>
          <w:lang w:val="en-US"/>
        </w:rPr>
        <w:t>the pen</w:t>
      </w:r>
      <w:r w:rsidR="00513A07" w:rsidRPr="002B477B">
        <w:rPr>
          <w:rFonts w:asciiTheme="minorHAnsi" w:hAnsiTheme="minorHAnsi" w:cstheme="minorHAnsi"/>
          <w:szCs w:val="24"/>
          <w:lang w:val="en-US"/>
        </w:rPr>
        <w:t xml:space="preserve">. </w:t>
      </w:r>
      <w:r w:rsidR="002404DB" w:rsidRPr="002B477B">
        <w:rPr>
          <w:rFonts w:asciiTheme="minorHAnsi" w:hAnsiTheme="minorHAnsi" w:cstheme="minorHAnsi"/>
          <w:szCs w:val="24"/>
          <w:lang w:val="en-US"/>
        </w:rPr>
        <w:t>For</w:t>
      </w:r>
      <w:r w:rsidRPr="002B477B">
        <w:rPr>
          <w:rFonts w:asciiTheme="minorHAnsi" w:hAnsiTheme="minorHAnsi" w:cstheme="minorHAnsi"/>
          <w:szCs w:val="24"/>
          <w:lang w:val="en-US"/>
        </w:rPr>
        <w:t xml:space="preserve"> men</w:t>
      </w:r>
      <w:r w:rsidR="00513A07" w:rsidRPr="002B477B">
        <w:rPr>
          <w:rFonts w:asciiTheme="minorHAnsi" w:hAnsiTheme="minorHAnsi" w:cstheme="minorHAnsi"/>
          <w:szCs w:val="24"/>
          <w:lang w:val="en-US"/>
        </w:rPr>
        <w:t xml:space="preserve">, this is </w:t>
      </w:r>
      <w:r w:rsidR="002404DB" w:rsidRPr="002B477B">
        <w:rPr>
          <w:rFonts w:asciiTheme="minorHAnsi" w:hAnsiTheme="minorHAnsi" w:cstheme="minorHAnsi"/>
          <w:szCs w:val="24"/>
          <w:lang w:val="en-US"/>
        </w:rPr>
        <w:t>convenient</w:t>
      </w:r>
      <w:r w:rsidR="00513A07" w:rsidRPr="002B477B">
        <w:rPr>
          <w:rFonts w:asciiTheme="minorHAnsi" w:hAnsiTheme="minorHAnsi" w:cstheme="minorHAnsi"/>
          <w:szCs w:val="24"/>
          <w:lang w:val="en-US"/>
        </w:rPr>
        <w:t xml:space="preserve"> as it allows divided doses of </w:t>
      </w:r>
      <w:r w:rsidR="00513A07" w:rsidRPr="002B477B">
        <w:rPr>
          <w:rFonts w:asciiTheme="minorHAnsi" w:hAnsiTheme="minorHAnsi" w:cstheme="minorHAnsi"/>
          <w:b/>
          <w:bCs/>
          <w:szCs w:val="24"/>
          <w:lang w:val="en-US"/>
        </w:rPr>
        <w:t>6 or 8 clicks (~1500-2000 I</w:t>
      </w:r>
      <w:r w:rsidR="002B477B">
        <w:rPr>
          <w:rFonts w:asciiTheme="minorHAnsi" w:hAnsiTheme="minorHAnsi" w:cstheme="minorHAnsi"/>
          <w:b/>
          <w:bCs/>
          <w:szCs w:val="24"/>
          <w:lang w:val="en-US"/>
        </w:rPr>
        <w:t>.</w:t>
      </w:r>
      <w:r w:rsidR="00513A07" w:rsidRPr="002B477B">
        <w:rPr>
          <w:rFonts w:asciiTheme="minorHAnsi" w:hAnsiTheme="minorHAnsi" w:cstheme="minorHAnsi"/>
          <w:b/>
          <w:bCs/>
          <w:szCs w:val="24"/>
          <w:lang w:val="en-US"/>
        </w:rPr>
        <w:t>U</w:t>
      </w:r>
      <w:r w:rsidR="002B477B">
        <w:rPr>
          <w:rFonts w:asciiTheme="minorHAnsi" w:hAnsiTheme="minorHAnsi" w:cstheme="minorHAnsi"/>
          <w:b/>
          <w:bCs/>
          <w:szCs w:val="24"/>
          <w:lang w:val="en-US"/>
        </w:rPr>
        <w:t>.</w:t>
      </w:r>
      <w:r w:rsidR="003D07A1" w:rsidRPr="002B477B">
        <w:rPr>
          <w:rFonts w:asciiTheme="minorHAnsi" w:hAnsiTheme="minorHAnsi" w:cstheme="minorHAnsi"/>
          <w:b/>
          <w:bCs/>
          <w:szCs w:val="24"/>
          <w:lang w:val="en-US"/>
        </w:rPr>
        <w:t xml:space="preserve"> Pregnyl equivalent</w:t>
      </w:r>
      <w:r w:rsidR="00513A07" w:rsidRPr="002B477B">
        <w:rPr>
          <w:rFonts w:asciiTheme="minorHAnsi" w:hAnsiTheme="minorHAnsi" w:cstheme="minorHAnsi"/>
          <w:b/>
          <w:bCs/>
          <w:szCs w:val="24"/>
          <w:lang w:val="en-US"/>
        </w:rPr>
        <w:t>)</w:t>
      </w:r>
      <w:r w:rsidR="00513A07" w:rsidRPr="002B477B">
        <w:rPr>
          <w:rFonts w:asciiTheme="minorHAnsi" w:hAnsiTheme="minorHAnsi" w:cstheme="minorHAnsi"/>
          <w:szCs w:val="24"/>
          <w:lang w:val="en-US"/>
        </w:rPr>
        <w:t xml:space="preserve"> two or three times weekly as the standard dose.</w:t>
      </w:r>
      <w:r w:rsidR="002404DB" w:rsidRPr="002B477B">
        <w:rPr>
          <w:rFonts w:asciiTheme="minorHAnsi" w:hAnsiTheme="minorHAnsi" w:cstheme="minorHAnsi"/>
          <w:szCs w:val="24"/>
          <w:lang w:val="en-US"/>
        </w:rPr>
        <w:t xml:space="preserve"> Educating patients on correct use will be necessary.</w:t>
      </w:r>
    </w:p>
    <w:p w14:paraId="2F02C6A8" w14:textId="2077FED7" w:rsidR="00571EE2" w:rsidRPr="00571EE2" w:rsidRDefault="002B477B" w:rsidP="00571EE2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2B477B">
        <w:rPr>
          <w:rFonts w:asciiTheme="minorHAnsi" w:hAnsiTheme="minorHAnsi" w:cstheme="minorHAnsi"/>
          <w:szCs w:val="24"/>
          <w:lang w:val="en-US"/>
        </w:rPr>
        <w:t>However,</w:t>
      </w:r>
      <w:r w:rsidR="003D07A1" w:rsidRPr="002B477B">
        <w:rPr>
          <w:rFonts w:asciiTheme="minorHAnsi" w:hAnsiTheme="minorHAnsi" w:cstheme="minorHAnsi"/>
          <w:szCs w:val="24"/>
          <w:lang w:val="en-US"/>
        </w:rPr>
        <w:t xml:space="preserve"> m</w:t>
      </w:r>
      <w:r w:rsidR="00571EE2" w:rsidRPr="002B477B">
        <w:rPr>
          <w:rFonts w:asciiTheme="minorHAnsi" w:hAnsiTheme="minorHAnsi" w:cstheme="minorHAnsi"/>
          <w:szCs w:val="24"/>
          <w:lang w:val="en-US"/>
        </w:rPr>
        <w:t xml:space="preserve">any men using Ovidrel will exhaust their prescriptions (with repeats) within 6-8 weeks, if prescribed a standard PBS script (1 pen and 5 repeats). </w:t>
      </w:r>
      <w:r w:rsidR="00571EE2" w:rsidRPr="002B477B">
        <w:rPr>
          <w:rFonts w:asciiTheme="minorHAnsi" w:hAnsiTheme="minorHAnsi" w:cstheme="minorHAnsi"/>
          <w:b/>
          <w:bCs/>
          <w:i/>
          <w:iCs/>
          <w:szCs w:val="24"/>
          <w:lang w:val="en-US"/>
        </w:rPr>
        <w:t>To avoid this situation, t</w:t>
      </w:r>
      <w:r w:rsidR="00571EE2" w:rsidRPr="00571EE2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Cs w:val="24"/>
          <w:lang w:eastAsia="en-AU"/>
          <w14:ligatures w14:val="none"/>
        </w:rPr>
        <w:t>he PBS does allow a prescriber to phone and ask for an increased quantity</w:t>
      </w:r>
      <w:r w:rsidR="00571EE2" w:rsidRPr="002B477B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Cs w:val="24"/>
          <w:lang w:eastAsia="en-AU"/>
          <w14:ligatures w14:val="none"/>
        </w:rPr>
        <w:t xml:space="preserve"> of any medication </w:t>
      </w:r>
      <w:r w:rsidR="00571EE2" w:rsidRPr="00571EE2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Cs w:val="24"/>
          <w:lang w:eastAsia="en-AU"/>
          <w14:ligatures w14:val="none"/>
        </w:rPr>
        <w:t>(except for antibiotics and opiates)</w:t>
      </w:r>
      <w:r w:rsidR="00571EE2" w:rsidRPr="002B477B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Cs w:val="24"/>
          <w:lang w:eastAsia="en-AU"/>
          <w14:ligatures w14:val="none"/>
        </w:rPr>
        <w:t xml:space="preserve"> </w:t>
      </w:r>
      <w:r w:rsidR="00571EE2" w:rsidRPr="00571EE2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Cs w:val="24"/>
          <w:lang w:eastAsia="en-AU"/>
          <w14:ligatures w14:val="none"/>
        </w:rPr>
        <w:t>to allow a patient enough medicine </w:t>
      </w:r>
      <w:r w:rsidR="00571EE2" w:rsidRPr="002B477B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Cs w:val="24"/>
          <w:lang w:eastAsia="en-AU"/>
          <w14:ligatures w14:val="none"/>
        </w:rPr>
        <w:t>for a</w:t>
      </w:r>
      <w:r w:rsidR="00571EE2" w:rsidRPr="00571EE2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Cs w:val="24"/>
          <w:lang w:eastAsia="en-AU"/>
          <w14:ligatures w14:val="none"/>
        </w:rPr>
        <w:t xml:space="preserve"> </w:t>
      </w:r>
      <w:r w:rsidRPr="00571EE2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Cs w:val="24"/>
          <w:lang w:eastAsia="en-AU"/>
          <w14:ligatures w14:val="none"/>
        </w:rPr>
        <w:t>4-week</w:t>
      </w:r>
      <w:r w:rsidR="00571EE2" w:rsidRPr="002B477B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Cs w:val="24"/>
          <w:lang w:eastAsia="en-AU"/>
          <w14:ligatures w14:val="none"/>
        </w:rPr>
        <w:t xml:space="preserve"> period.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 </w:t>
      </w:r>
    </w:p>
    <w:p w14:paraId="08E65CE3" w14:textId="140C7F4B" w:rsidR="00571EE2" w:rsidRPr="00571EE2" w:rsidRDefault="00571EE2" w:rsidP="00571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</w:pP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To do this, the prescriber </w:t>
      </w:r>
      <w:r w:rsid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will need to phone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 </w:t>
      </w:r>
      <w:r w:rsidR="003D07A1"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to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 request an </w:t>
      </w:r>
      <w:r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“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Authority </w:t>
      </w:r>
      <w:r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script for increased amounts”</w:t>
      </w:r>
      <w:r w:rsid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, using </w:t>
      </w:r>
      <w:r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words to the effect of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: "I am requesting an Authority prescription for an increased quantity to allow my patient to have enough supply to last four weeks." </w:t>
      </w:r>
      <w:r w:rsidR="000F33E6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The prescriber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 will then be asked the </w:t>
      </w:r>
      <w:r w:rsidR="003D07A1"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Ovidrel 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dose th</w:t>
      </w:r>
      <w:r w:rsidR="003D07A1"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at the</w:t>
      </w:r>
      <w:r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 patient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 </w:t>
      </w:r>
      <w:r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will be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 taking and how </w:t>
      </w:r>
      <w:r w:rsidR="003D07A1"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many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 </w:t>
      </w:r>
      <w:r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Ovidrel 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pen</w:t>
      </w:r>
      <w:r w:rsidR="003D07A1"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s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 </w:t>
      </w:r>
      <w:r w:rsidR="003D07A1"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are needed to last 4 weeks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. The following will help prescribers answer th</w:t>
      </w:r>
      <w:r w:rsidR="003D07A1"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is. </w:t>
      </w:r>
    </w:p>
    <w:p w14:paraId="19C8EEA8" w14:textId="53DBFD5E" w:rsidR="00571EE2" w:rsidRPr="00571EE2" w:rsidRDefault="003D07A1" w:rsidP="003D07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</w:pPr>
      <w:r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1.  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Pregnyl 1500 I.U. twice a week = 62.5 ug Ovidrel twice a week (i.e. 6 clicks of the Ovidrel pen twice a</w:t>
      </w:r>
      <w:r w:rsid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 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week), </w:t>
      </w:r>
      <w:r w:rsidR="00571EE2" w:rsidRPr="00571EE2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>therefore one Ovidrel pen would be used every 2 weeks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, so the prescriber would request </w:t>
      </w:r>
      <w:r w:rsidR="00571EE2" w:rsidRPr="00571EE2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>2 pens and 5 repeats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 in order for the patient to have enough supply for 4 weeks.</w:t>
      </w:r>
    </w:p>
    <w:p w14:paraId="25ABCB2A" w14:textId="6F22EC55" w:rsidR="003D07A1" w:rsidRPr="002B477B" w:rsidRDefault="003D07A1" w:rsidP="00571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</w:pPr>
      <w:r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2.  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Pregnyl 1500 I.U. three times a week = 62.5 ug Ovidrel three times a week (i.e. 6 clicks three a week)</w:t>
      </w:r>
      <w:r w:rsidR="00571EE2" w:rsidRPr="00571EE2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> therefore one Ovidrel pen would be used every 1.33 weeks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, so the prescriber would request </w:t>
      </w:r>
      <w:r w:rsidR="00571EE2" w:rsidRPr="00571EE2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>3 pens and 5 repeats </w:t>
      </w:r>
    </w:p>
    <w:p w14:paraId="53183DBE" w14:textId="1EE315FD" w:rsidR="00571EE2" w:rsidRPr="00571EE2" w:rsidRDefault="003D07A1" w:rsidP="00571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</w:pPr>
      <w:r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3. 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Pregnyl 2000 I.U. twice a week = 83.33 ug Ovidrel twice a week (i.e. 8 clicks twice a week) </w:t>
      </w:r>
      <w:r w:rsidR="00571EE2" w:rsidRPr="00571EE2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>therefore one Ovidrel pen would be used every 1.5 weeks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, so the prescriber would request </w:t>
      </w:r>
      <w:r w:rsidR="00571EE2" w:rsidRPr="00571EE2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>3 pens and 5 repeats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  (round up 2.67 pens to 3 pens)</w:t>
      </w:r>
    </w:p>
    <w:p w14:paraId="640581A1" w14:textId="14CF48A7" w:rsidR="00571EE2" w:rsidRDefault="003D07A1" w:rsidP="00571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</w:pPr>
      <w:r w:rsidRPr="002B477B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4. 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Pregnyl 2000 I.U. three times a week = 83.33 ug Ovidrel three times a week (i.e. 8 clicks three times a week) </w:t>
      </w:r>
      <w:r w:rsidR="00571EE2" w:rsidRPr="00571EE2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>therefore one Ovidrel pen would be used every week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, so the prescriber would request </w:t>
      </w:r>
      <w:r w:rsidR="00571EE2" w:rsidRPr="00571EE2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>4 pens and 5 repeats </w:t>
      </w:r>
      <w:r w:rsidR="00571EE2"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 </w:t>
      </w:r>
    </w:p>
    <w:p w14:paraId="759519D7" w14:textId="5D4BFB67" w:rsidR="00FC15D0" w:rsidRDefault="00FC15D0" w:rsidP="00FC1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</w:pPr>
      <w:r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5. 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Pregnyl </w:t>
      </w:r>
      <w:r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3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000 I.U. </w:t>
      </w:r>
      <w:r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twice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 a week = </w:t>
      </w:r>
      <w:r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125 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ug Ovidrel </w:t>
      </w:r>
      <w:r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twice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 xml:space="preserve"> a week (i.e. </w:t>
      </w:r>
      <w:r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12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 clicks </w:t>
      </w:r>
      <w:r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twice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 a week) </w:t>
      </w:r>
      <w:r w:rsidRPr="00571EE2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>therefore one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 xml:space="preserve"> </w:t>
      </w:r>
      <w:r w:rsidRPr="00571EE2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>Ovidrel pen would be used every week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, so the prescriber would request </w:t>
      </w:r>
      <w:r w:rsidRPr="00571EE2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eastAsia="en-AU"/>
          <w14:ligatures w14:val="none"/>
        </w:rPr>
        <w:t>4 pens and 5 repeats </w:t>
      </w:r>
      <w:r w:rsidRPr="00571EE2">
        <w:rPr>
          <w:rFonts w:asciiTheme="minorHAnsi" w:eastAsia="Times New Roman" w:hAnsiTheme="minorHAnsi" w:cstheme="minorHAnsi"/>
          <w:color w:val="000000"/>
          <w:kern w:val="0"/>
          <w:szCs w:val="24"/>
          <w:lang w:eastAsia="en-AU"/>
          <w14:ligatures w14:val="none"/>
        </w:rPr>
        <w:t> </w:t>
      </w:r>
    </w:p>
    <w:p w14:paraId="6C98FE07" w14:textId="581C3C34" w:rsidR="00571EE2" w:rsidRPr="002B477B" w:rsidRDefault="002B477B" w:rsidP="00571EE2">
      <w:pPr>
        <w:jc w:val="both"/>
        <w:rPr>
          <w:rFonts w:asciiTheme="minorHAnsi" w:hAnsiTheme="minorHAnsi" w:cstheme="minorHAnsi"/>
          <w:b/>
          <w:bCs/>
          <w:szCs w:val="24"/>
          <w:lang w:val="en-US"/>
        </w:rPr>
      </w:pPr>
      <w:r w:rsidRPr="002B477B">
        <w:rPr>
          <w:rFonts w:asciiTheme="minorHAnsi" w:hAnsiTheme="minorHAnsi" w:cstheme="minorHAnsi"/>
          <w:b/>
          <w:bCs/>
          <w:szCs w:val="24"/>
          <w:lang w:val="en-US"/>
        </w:rPr>
        <w:lastRenderedPageBreak/>
        <w:t>Disposable needles</w:t>
      </w:r>
    </w:p>
    <w:p w14:paraId="26D38C9E" w14:textId="09EF93BB" w:rsidR="00571EE2" w:rsidRPr="00571EE2" w:rsidRDefault="003D07A1" w:rsidP="003D07A1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12121"/>
          <w:kern w:val="0"/>
          <w:szCs w:val="24"/>
          <w:lang w:eastAsia="en-AU"/>
          <w14:ligatures w14:val="none"/>
        </w:rPr>
      </w:pPr>
      <w:r w:rsidRPr="002B477B">
        <w:rPr>
          <w:rFonts w:asciiTheme="minorHAnsi" w:eastAsia="Times New Roman" w:hAnsiTheme="minorHAnsi" w:cstheme="minorHAnsi"/>
          <w:color w:val="212121"/>
          <w:kern w:val="0"/>
          <w:szCs w:val="24"/>
          <w:lang w:eastAsia="en-AU"/>
          <w14:ligatures w14:val="none"/>
        </w:rPr>
        <w:t>The box containing Ovidrel comes with two screw on needles per pen. If a patient is using the pen for more than 2 injections and does not want to re-use the needle, they will need to purchase extra needles from the pharmacy.</w:t>
      </w:r>
    </w:p>
    <w:p w14:paraId="374BC5D0" w14:textId="77777777" w:rsidR="00CD235C" w:rsidRDefault="00CD235C" w:rsidP="00571EE2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3C207B8E" w14:textId="35594F73" w:rsidR="002B477B" w:rsidRDefault="002B477B" w:rsidP="00571EE2">
      <w:pPr>
        <w:jc w:val="both"/>
        <w:rPr>
          <w:rFonts w:asciiTheme="minorHAnsi" w:hAnsiTheme="minorHAnsi" w:cstheme="minorHAnsi"/>
          <w:b/>
          <w:bCs/>
          <w:szCs w:val="24"/>
          <w:lang w:val="en-US"/>
        </w:rPr>
      </w:pPr>
      <w:r>
        <w:rPr>
          <w:rFonts w:asciiTheme="minorHAnsi" w:hAnsiTheme="minorHAnsi" w:cstheme="minorHAnsi"/>
          <w:b/>
          <w:bCs/>
          <w:szCs w:val="24"/>
          <w:lang w:val="en-US"/>
        </w:rPr>
        <w:t>SUMMARY</w:t>
      </w:r>
    </w:p>
    <w:p w14:paraId="2FECE3B6" w14:textId="55F91F9F" w:rsidR="002B477B" w:rsidRDefault="002B477B" w:rsidP="00571EE2">
      <w:pPr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1500 I.U. Pregnyl </w:t>
      </w:r>
      <w:r w:rsidR="00FC15D0">
        <w:rPr>
          <w:rFonts w:asciiTheme="minorHAnsi" w:hAnsiTheme="minorHAnsi" w:cstheme="minorHAnsi"/>
          <w:szCs w:val="24"/>
          <w:lang w:val="en-US"/>
        </w:rPr>
        <w:t>is approximately equivalent to 6 clicks of the Ovidrel pen (62.5 ug Ovidrel)</w:t>
      </w:r>
    </w:p>
    <w:p w14:paraId="7AF13832" w14:textId="30B363D8" w:rsidR="00FC15D0" w:rsidRDefault="00FC15D0" w:rsidP="00FC15D0">
      <w:pPr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2000 I.U. Pregnyl is approximately equivalent to 8 clicks of the Ovidrel pen (83.3 ug Ovidrel)</w:t>
      </w:r>
    </w:p>
    <w:p w14:paraId="5822D544" w14:textId="6906756E" w:rsidR="00FC15D0" w:rsidRDefault="00FC15D0" w:rsidP="00FC15D0">
      <w:pPr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3000 I.U. Pregnyl is approximately equivalent to 12 clicks of the Ovidrel pen (125 ug Ovidrel)</w:t>
      </w:r>
    </w:p>
    <w:p w14:paraId="4AB80978" w14:textId="54456805" w:rsidR="006347BA" w:rsidRDefault="006347BA" w:rsidP="00FC15D0">
      <w:pPr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Phone Authority to request increased amounts will almost always be needed to ensure the patient receives a 4-week supply</w:t>
      </w:r>
    </w:p>
    <w:p w14:paraId="46554033" w14:textId="4B5C8159" w:rsidR="00FC15D0" w:rsidRDefault="00FC15D0" w:rsidP="00FC15D0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765938D9" w14:textId="1305DB64" w:rsidR="00FC15D0" w:rsidRDefault="00FC15D0" w:rsidP="00571EE2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12E77ED3" w14:textId="77777777" w:rsidR="00FC15D0" w:rsidRPr="002B477B" w:rsidRDefault="00FC15D0" w:rsidP="00571EE2">
      <w:pPr>
        <w:jc w:val="both"/>
        <w:rPr>
          <w:rFonts w:asciiTheme="minorHAnsi" w:hAnsiTheme="minorHAnsi" w:cstheme="minorHAnsi"/>
          <w:szCs w:val="24"/>
          <w:lang w:val="en-US"/>
        </w:rPr>
      </w:pPr>
    </w:p>
    <w:sectPr w:rsidR="00FC15D0" w:rsidRPr="002B4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pton Boo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0E"/>
    <w:rsid w:val="000F33E6"/>
    <w:rsid w:val="002404DB"/>
    <w:rsid w:val="002B477B"/>
    <w:rsid w:val="0033620E"/>
    <w:rsid w:val="003D07A1"/>
    <w:rsid w:val="003D2049"/>
    <w:rsid w:val="003F6ECE"/>
    <w:rsid w:val="00513A07"/>
    <w:rsid w:val="00571EE2"/>
    <w:rsid w:val="006347BA"/>
    <w:rsid w:val="0079643E"/>
    <w:rsid w:val="00944874"/>
    <w:rsid w:val="00BA63E3"/>
    <w:rsid w:val="00CD235C"/>
    <w:rsid w:val="00D76711"/>
    <w:rsid w:val="00F44DC0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6D1D"/>
  <w15:chartTrackingRefBased/>
  <w15:docId w15:val="{7EDED9E9-36F8-4702-BD95-222E026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pton Book" w:eastAsiaTheme="minorHAnsi" w:hAnsi="Campton Book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089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665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734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229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4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240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108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416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00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871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56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9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33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292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Moss</dc:creator>
  <cp:keywords/>
  <dc:description/>
  <cp:lastModifiedBy>Ivone Johnson</cp:lastModifiedBy>
  <cp:revision>2</cp:revision>
  <dcterms:created xsi:type="dcterms:W3CDTF">2023-08-01T00:58:00Z</dcterms:created>
  <dcterms:modified xsi:type="dcterms:W3CDTF">2023-08-01T00:58:00Z</dcterms:modified>
</cp:coreProperties>
</file>